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E26D" w14:textId="77777777" w:rsidR="00B35491" w:rsidRPr="00D375CF" w:rsidRDefault="00B35491" w:rsidP="00B35491">
      <w:pPr>
        <w:pStyle w:val="Heading1"/>
        <w:rPr>
          <w:i/>
          <w:iCs/>
          <w:color w:val="BFBFBF" w:themeColor="background1" w:themeShade="BF"/>
        </w:rPr>
      </w:pPr>
      <w:r w:rsidRPr="00D375CF">
        <w:rPr>
          <w:i/>
          <w:iCs/>
          <w:color w:val="BFBFBF" w:themeColor="background1" w:themeShade="BF"/>
        </w:rPr>
        <w:t>Client Letter</w:t>
      </w:r>
    </w:p>
    <w:p w14:paraId="1A9DB7B7" w14:textId="0948A064" w:rsidR="008A6EAC" w:rsidRPr="008A6EAC" w:rsidRDefault="008A6EAC" w:rsidP="008A6EAC">
      <w:pPr>
        <w:pStyle w:val="Heading2"/>
      </w:pPr>
      <w:r w:rsidRPr="008A6EAC">
        <w:t xml:space="preserve">Table of Contents </w:t>
      </w:r>
    </w:p>
    <w:p w14:paraId="2F9D9A0F" w14:textId="77777777" w:rsidR="008A6EAC" w:rsidRPr="001201C5" w:rsidRDefault="008A6EAC" w:rsidP="008A6EAC">
      <w:pPr>
        <w:pStyle w:val="BodyText2"/>
        <w:spacing w:after="0" w:line="240" w:lineRule="auto"/>
        <w:contextualSpacing/>
        <w:mirrorIndents/>
      </w:pPr>
      <w:r w:rsidRPr="001201C5">
        <w:t>Outsourcing Facility Information ……………</w:t>
      </w:r>
      <w:proofErr w:type="gramStart"/>
      <w:r w:rsidRPr="001201C5">
        <w:t>…..</w:t>
      </w:r>
      <w:proofErr w:type="gramEnd"/>
      <w:r w:rsidRPr="001201C5">
        <w:t>……………………………………………………..2</w:t>
      </w:r>
    </w:p>
    <w:p w14:paraId="4C2BFC3A" w14:textId="77777777" w:rsidR="008A6EAC" w:rsidRPr="001201C5" w:rsidRDefault="008A6EAC" w:rsidP="008A6EAC">
      <w:pPr>
        <w:spacing w:after="0"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>Participants …………………………</w:t>
      </w:r>
      <w:proofErr w:type="gramStart"/>
      <w:r w:rsidRPr="001201C5">
        <w:rPr>
          <w:rFonts w:ascii="Arial" w:hAnsi="Arial" w:cs="Arial"/>
          <w:sz w:val="24"/>
          <w:szCs w:val="24"/>
        </w:rPr>
        <w:t>…..</w:t>
      </w:r>
      <w:proofErr w:type="gramEnd"/>
      <w:r w:rsidRPr="001201C5">
        <w:rPr>
          <w:rFonts w:ascii="Arial" w:hAnsi="Arial" w:cs="Arial"/>
          <w:sz w:val="24"/>
          <w:szCs w:val="24"/>
        </w:rPr>
        <w:t>………………..………………………………………….…..2</w:t>
      </w:r>
    </w:p>
    <w:p w14:paraId="4E78218C" w14:textId="77777777" w:rsidR="008A6EAC" w:rsidRPr="001201C5" w:rsidRDefault="008A6EAC" w:rsidP="008A6EAC">
      <w:pPr>
        <w:spacing w:after="0"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>History ………………</w:t>
      </w:r>
      <w:proofErr w:type="gramStart"/>
      <w:r w:rsidRPr="001201C5">
        <w:rPr>
          <w:rFonts w:ascii="Arial" w:hAnsi="Arial" w:cs="Arial"/>
          <w:sz w:val="24"/>
          <w:szCs w:val="24"/>
        </w:rPr>
        <w:t>…..</w:t>
      </w:r>
      <w:proofErr w:type="gramEnd"/>
      <w:r w:rsidRPr="001201C5">
        <w:rPr>
          <w:rFonts w:ascii="Arial" w:hAnsi="Arial" w:cs="Arial"/>
          <w:sz w:val="24"/>
          <w:szCs w:val="24"/>
        </w:rPr>
        <w:t>………………………………………………………………………………..2</w:t>
      </w:r>
    </w:p>
    <w:p w14:paraId="71ABE7F3" w14:textId="77777777" w:rsidR="008A6EAC" w:rsidRPr="001201C5" w:rsidRDefault="008A6EAC" w:rsidP="008A6EAC">
      <w:pPr>
        <w:pStyle w:val="BodyText2"/>
        <w:spacing w:after="0" w:line="240" w:lineRule="auto"/>
        <w:contextualSpacing/>
        <w:mirrorIndents/>
      </w:pPr>
      <w:r w:rsidRPr="001201C5">
        <w:t>Registrations and Inspections  ……</w:t>
      </w:r>
      <w:proofErr w:type="gramStart"/>
      <w:r w:rsidRPr="001201C5">
        <w:t>…..</w:t>
      </w:r>
      <w:proofErr w:type="gramEnd"/>
      <w:r w:rsidRPr="001201C5">
        <w:t>……………………………………………………………….2</w:t>
      </w:r>
    </w:p>
    <w:p w14:paraId="6AEE4B4A" w14:textId="77777777" w:rsidR="008A6EAC" w:rsidRPr="001201C5" w:rsidRDefault="008A6EAC" w:rsidP="008A6EAC">
      <w:pPr>
        <w:spacing w:after="0"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>Executive Summary …...……………………………………………………………………………</w:t>
      </w:r>
      <w:proofErr w:type="gramStart"/>
      <w:r w:rsidRPr="001201C5">
        <w:rPr>
          <w:rFonts w:ascii="Arial" w:hAnsi="Arial" w:cs="Arial"/>
          <w:sz w:val="24"/>
          <w:szCs w:val="24"/>
        </w:rPr>
        <w:t>…..</w:t>
      </w:r>
      <w:proofErr w:type="gramEnd"/>
      <w:r w:rsidRPr="001201C5">
        <w:rPr>
          <w:rFonts w:ascii="Arial" w:hAnsi="Arial" w:cs="Arial"/>
          <w:sz w:val="24"/>
          <w:szCs w:val="24"/>
        </w:rPr>
        <w:t>3</w:t>
      </w:r>
    </w:p>
    <w:p w14:paraId="52CB3305" w14:textId="77777777" w:rsidR="008A6EAC" w:rsidRPr="001201C5" w:rsidRDefault="008A6EAC" w:rsidP="008A6EAC">
      <w:pPr>
        <w:spacing w:after="0"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>Scope ……………………………………………...…………</w:t>
      </w:r>
      <w:proofErr w:type="gramStart"/>
      <w:r w:rsidRPr="001201C5">
        <w:rPr>
          <w:rFonts w:ascii="Arial" w:hAnsi="Arial" w:cs="Arial"/>
          <w:sz w:val="24"/>
          <w:szCs w:val="24"/>
        </w:rPr>
        <w:t>…..</w:t>
      </w:r>
      <w:proofErr w:type="gramEnd"/>
      <w:r w:rsidRPr="001201C5">
        <w:rPr>
          <w:rFonts w:ascii="Arial" w:hAnsi="Arial" w:cs="Arial"/>
          <w:sz w:val="24"/>
          <w:szCs w:val="24"/>
        </w:rPr>
        <w:t>………………………………………3</w:t>
      </w:r>
    </w:p>
    <w:p w14:paraId="58711843" w14:textId="77777777" w:rsidR="008A6EAC" w:rsidRPr="001201C5" w:rsidRDefault="008A6EAC" w:rsidP="008A6EAC">
      <w:pPr>
        <w:spacing w:after="0"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>Summary ………………………………………………………………………………………</w:t>
      </w:r>
      <w:proofErr w:type="gramStart"/>
      <w:r w:rsidRPr="001201C5">
        <w:rPr>
          <w:rFonts w:ascii="Arial" w:hAnsi="Arial" w:cs="Arial"/>
          <w:sz w:val="24"/>
          <w:szCs w:val="24"/>
        </w:rPr>
        <w:t>…..</w:t>
      </w:r>
      <w:proofErr w:type="gramEnd"/>
      <w:r w:rsidRPr="001201C5">
        <w:rPr>
          <w:rFonts w:ascii="Arial" w:hAnsi="Arial" w:cs="Arial"/>
          <w:sz w:val="24"/>
          <w:szCs w:val="24"/>
        </w:rPr>
        <w:t>….…4</w:t>
      </w:r>
    </w:p>
    <w:p w14:paraId="05BCAD31" w14:textId="77777777" w:rsidR="008A6EAC" w:rsidRPr="001201C5" w:rsidRDefault="008A6EAC" w:rsidP="008A6EAC">
      <w:pPr>
        <w:pStyle w:val="BodyTextIndent"/>
      </w:pPr>
      <w:r w:rsidRPr="00755C5E">
        <w:rPr>
          <w:b/>
          <w:bCs/>
        </w:rPr>
        <w:t xml:space="preserve">    Exhibit 1: Audit Table</w:t>
      </w:r>
      <w:r w:rsidRPr="001201C5">
        <w:t xml:space="preserve"> …</w:t>
      </w:r>
      <w:r>
        <w:t>.</w:t>
      </w:r>
      <w:r w:rsidRPr="001201C5">
        <w:t>……………………………………………………</w:t>
      </w:r>
      <w:proofErr w:type="gramStart"/>
      <w:r w:rsidRPr="001201C5">
        <w:t>…..</w:t>
      </w:r>
      <w:proofErr w:type="gramEnd"/>
      <w:r w:rsidRPr="001201C5">
        <w:t>………………....6</w:t>
      </w:r>
    </w:p>
    <w:p w14:paraId="324CE507" w14:textId="77777777" w:rsidR="008A6EAC" w:rsidRPr="001201C5" w:rsidRDefault="008A6EAC" w:rsidP="008A6EA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 xml:space="preserve">    Exhibit 2: Current Product List………………………………………………………………………9</w:t>
      </w:r>
    </w:p>
    <w:p w14:paraId="4AFB082C" w14:textId="77777777" w:rsidR="008A6EAC" w:rsidRDefault="008A6EAC" w:rsidP="008A6EA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01C5">
        <w:rPr>
          <w:rFonts w:ascii="Arial" w:hAnsi="Arial" w:cs="Arial"/>
          <w:sz w:val="24"/>
          <w:szCs w:val="24"/>
        </w:rPr>
        <w:t xml:space="preserve">    Exhibit 3: Label Examples …………………………………………………………………………12</w:t>
      </w:r>
    </w:p>
    <w:p w14:paraId="5B07B2D2" w14:textId="77777777" w:rsidR="008A6EAC" w:rsidRDefault="008A6EAC" w:rsidP="005A76DE">
      <w:pPr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78EEBBF4" w14:textId="0AA4456A" w:rsidR="0084691D" w:rsidRPr="00B35491" w:rsidRDefault="00B35491" w:rsidP="005A76DE">
      <w:pPr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 w:rsidRPr="00B35491"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Outsourcing Facility Information</w:t>
      </w:r>
    </w:p>
    <w:p w14:paraId="0E9B83FA" w14:textId="22588EE6" w:rsidR="005A76DE" w:rsidRPr="00C91982" w:rsidRDefault="005A76DE" w:rsidP="005A76D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F22C963" w14:textId="3F75EA9B" w:rsidR="005A76DE" w:rsidRPr="00C91982" w:rsidRDefault="00B35491" w:rsidP="00C9198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Outsourcing Facility name, location, audit dates, and auditor.  </w:t>
      </w:r>
    </w:p>
    <w:p w14:paraId="7494C450" w14:textId="77777777" w:rsidR="005A76DE" w:rsidRPr="00C91982" w:rsidRDefault="005A76DE" w:rsidP="005A76D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3C19E4" w14:textId="2FD5EA5E" w:rsidR="005A76DE" w:rsidRPr="00C81FEE" w:rsidRDefault="00B35491" w:rsidP="005A76DE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Participants</w:t>
      </w:r>
    </w:p>
    <w:p w14:paraId="600D73C0" w14:textId="4300EB92" w:rsidR="00D375CF" w:rsidRDefault="00D375CF" w:rsidP="005A76D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DA81283" w14:textId="6EDA516A" w:rsidR="00D375CF" w:rsidRPr="00D375CF" w:rsidRDefault="00D375CF" w:rsidP="00D375C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D375CF">
        <w:rPr>
          <w:rFonts w:ascii="Arial" w:hAnsi="Arial" w:cs="Arial"/>
          <w:bCs/>
          <w:sz w:val="24"/>
          <w:szCs w:val="24"/>
        </w:rPr>
        <w:t>Participant table that includes names and titles of Outsourcing Facility participants.</w:t>
      </w:r>
    </w:p>
    <w:p w14:paraId="155A20C6" w14:textId="77777777" w:rsidR="00D375CF" w:rsidRDefault="00D375CF" w:rsidP="005A76D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427FC8E" w14:textId="48723BC7" w:rsidR="005A76DE" w:rsidRPr="00C81FEE" w:rsidRDefault="00B35491" w:rsidP="005A76DE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History</w:t>
      </w:r>
      <w:r w:rsidR="005A76DE" w:rsidRPr="00C81FEE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14:paraId="5093EF83" w14:textId="0FC63E2B" w:rsidR="00D375CF" w:rsidRDefault="00D375CF" w:rsidP="005A76D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34BA2EE" w14:textId="47A3433D" w:rsidR="00D375CF" w:rsidRPr="00D375CF" w:rsidRDefault="00D375CF" w:rsidP="005A76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D375CF">
        <w:rPr>
          <w:rFonts w:ascii="Arial" w:hAnsi="Arial" w:cs="Arial"/>
          <w:bCs/>
          <w:sz w:val="24"/>
          <w:szCs w:val="24"/>
        </w:rPr>
        <w:t>Founding history: headquarters, other facilities under same ownership</w:t>
      </w:r>
    </w:p>
    <w:p w14:paraId="4D5A8455" w14:textId="77777777" w:rsidR="005A76DE" w:rsidRPr="00C91982" w:rsidRDefault="005A76DE" w:rsidP="005A76D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2A66E2" w14:textId="5FE0A52C" w:rsidR="001C7224" w:rsidRDefault="00B35491" w:rsidP="005A76D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Registrations and Inspections</w:t>
      </w:r>
      <w:r w:rsidR="00C81FEE" w:rsidRPr="00C81FEE"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:</w:t>
      </w:r>
    </w:p>
    <w:p w14:paraId="27F20EE7" w14:textId="77777777" w:rsidR="00D375CF" w:rsidRDefault="00D375CF" w:rsidP="005A76D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598A35" w14:textId="246FF01F" w:rsidR="00D375CF" w:rsidRDefault="00D375CF" w:rsidP="00D375C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Named Outsourcing Facility </w:t>
      </w:r>
      <w:r>
        <w:rPr>
          <w:rFonts w:ascii="Arial" w:hAnsi="Arial" w:cs="Arial"/>
          <w:sz w:val="24"/>
          <w:szCs w:val="24"/>
        </w:rPr>
        <w:t>was la</w:t>
      </w:r>
      <w:r w:rsidRPr="00C91982">
        <w:rPr>
          <w:rFonts w:ascii="Arial" w:hAnsi="Arial" w:cs="Arial"/>
          <w:sz w:val="24"/>
          <w:szCs w:val="24"/>
        </w:rPr>
        <w:t xml:space="preserve">st registered as an Outsourcing Facility on </w:t>
      </w:r>
      <w:r>
        <w:rPr>
          <w:rFonts w:ascii="Arial" w:hAnsi="Arial" w:cs="Arial"/>
          <w:sz w:val="24"/>
          <w:szCs w:val="24"/>
        </w:rPr>
        <w:t>MMDDYYYY</w:t>
      </w:r>
      <w:r w:rsidRPr="00C91982">
        <w:rPr>
          <w:rFonts w:ascii="Arial" w:hAnsi="Arial" w:cs="Arial"/>
          <w:sz w:val="24"/>
          <w:szCs w:val="24"/>
        </w:rPr>
        <w:t xml:space="preserve"> (FDA registration confirmed)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Named Outsourcing Facility </w:t>
      </w:r>
      <w:r w:rsidRPr="00C91982">
        <w:rPr>
          <w:rFonts w:ascii="Arial" w:hAnsi="Arial" w:cs="Arial"/>
          <w:sz w:val="24"/>
          <w:szCs w:val="24"/>
        </w:rPr>
        <w:t>is also registered with Drug Enforcement Administration (DEA registration confirmed), and various other State Boards of Pharmacy</w:t>
      </w:r>
      <w:r>
        <w:rPr>
          <w:rFonts w:ascii="Arial" w:hAnsi="Arial" w:cs="Arial"/>
          <w:sz w:val="24"/>
          <w:szCs w:val="24"/>
        </w:rPr>
        <w:t xml:space="preserve"> (included will be states that facility is NOT currently registered)</w:t>
      </w:r>
    </w:p>
    <w:p w14:paraId="1A08DFC6" w14:textId="77777777" w:rsidR="00D375CF" w:rsidRDefault="00D375CF" w:rsidP="00D375C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EA7E49" w14:textId="1E1801C7" w:rsidR="00D375CF" w:rsidRPr="00C91982" w:rsidRDefault="00D375CF" w:rsidP="00D375C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Named Outsourcing Facility </w:t>
      </w:r>
      <w:r w:rsidRPr="00C91982">
        <w:rPr>
          <w:rFonts w:ascii="Arial" w:hAnsi="Arial" w:cs="Arial"/>
          <w:sz w:val="24"/>
          <w:szCs w:val="24"/>
        </w:rPr>
        <w:t>was last inspected by FDA from MMDDYYYY through MMDDYYYY.  There were # observations</w:t>
      </w:r>
      <w:r>
        <w:rPr>
          <w:rFonts w:ascii="Arial" w:hAnsi="Arial" w:cs="Arial"/>
          <w:sz w:val="24"/>
          <w:szCs w:val="24"/>
        </w:rPr>
        <w:t xml:space="preserve"> (list of observations and responses attached). </w:t>
      </w:r>
      <w:r>
        <w:rPr>
          <w:rFonts w:ascii="Arial" w:hAnsi="Arial" w:cs="Arial"/>
          <w:b/>
          <w:sz w:val="24"/>
          <w:szCs w:val="24"/>
        </w:rPr>
        <w:t xml:space="preserve">Named Outsourcing Facility </w:t>
      </w:r>
      <w:r w:rsidRPr="00C91982">
        <w:rPr>
          <w:rFonts w:ascii="Arial" w:hAnsi="Arial" w:cs="Arial"/>
          <w:sz w:val="24"/>
          <w:szCs w:val="24"/>
        </w:rPr>
        <w:t>was last inspected by DEA from MMDDYYYY through MMDDYYYY.  There were # deficiencies.</w:t>
      </w:r>
    </w:p>
    <w:p w14:paraId="0C9FBA2E" w14:textId="77777777" w:rsidR="00D375CF" w:rsidRDefault="00D375CF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6D1B7AAD" w14:textId="6CFBA2C1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Executive Summary:</w:t>
      </w:r>
    </w:p>
    <w:p w14:paraId="35A46E79" w14:textId="66B6381F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0C336299" w14:textId="3B90621D" w:rsidR="00D375CF" w:rsidRDefault="00D375CF" w:rsidP="00D375C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completed audit, followed by detailed description of observation types (critical, </w:t>
      </w:r>
      <w:r w:rsidR="008A6EA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ajor, minor, recommendations), number  of observations.  </w:t>
      </w:r>
    </w:p>
    <w:p w14:paraId="302DBD5E" w14:textId="77777777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lastRenderedPageBreak/>
        <w:t>Scope:</w:t>
      </w:r>
    </w:p>
    <w:p w14:paraId="0FB40A67" w14:textId="0B193ED4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320D7E29" w14:textId="11A684ED" w:rsidR="00D375CF" w:rsidRDefault="00D375CF" w:rsidP="00D375C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91982">
        <w:rPr>
          <w:rFonts w:ascii="Arial" w:hAnsi="Arial" w:cs="Arial"/>
          <w:sz w:val="24"/>
          <w:szCs w:val="24"/>
        </w:rPr>
        <w:t xml:space="preserve">The audit conducted by </w:t>
      </w:r>
      <w:r>
        <w:rPr>
          <w:rFonts w:ascii="Arial" w:hAnsi="Arial" w:cs="Arial"/>
          <w:b/>
          <w:i/>
          <w:sz w:val="24"/>
          <w:szCs w:val="24"/>
        </w:rPr>
        <w:t>PAC Auditing Solutions</w:t>
      </w:r>
      <w:r>
        <w:rPr>
          <w:rFonts w:ascii="Arial" w:hAnsi="Arial" w:cs="Arial"/>
          <w:sz w:val="24"/>
          <w:szCs w:val="24"/>
        </w:rPr>
        <w:t xml:space="preserve"> </w:t>
      </w:r>
      <w:r w:rsidRPr="00C91982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 xml:space="preserve">, but was not limited to, </w:t>
      </w:r>
      <w:r w:rsidRPr="00C91982">
        <w:rPr>
          <w:rFonts w:ascii="Arial" w:hAnsi="Arial" w:cs="Arial"/>
          <w:sz w:val="24"/>
          <w:szCs w:val="24"/>
        </w:rPr>
        <w:t xml:space="preserve">a </w:t>
      </w:r>
      <w:r w:rsidR="006A1680">
        <w:rPr>
          <w:rFonts w:ascii="Arial" w:hAnsi="Arial" w:cs="Arial"/>
          <w:sz w:val="24"/>
          <w:szCs w:val="24"/>
        </w:rPr>
        <w:t xml:space="preserve">virtual </w:t>
      </w:r>
      <w:r w:rsidRPr="00C91982">
        <w:rPr>
          <w:rFonts w:ascii="Arial" w:hAnsi="Arial" w:cs="Arial"/>
          <w:sz w:val="24"/>
          <w:szCs w:val="24"/>
        </w:rPr>
        <w:t xml:space="preserve">building and facilities tour, review of Quality Systems, </w:t>
      </w:r>
      <w:r>
        <w:rPr>
          <w:rFonts w:ascii="Arial" w:hAnsi="Arial" w:cs="Arial"/>
          <w:sz w:val="24"/>
          <w:szCs w:val="24"/>
        </w:rPr>
        <w:t xml:space="preserve">quality responsibilities, master and working compounding batch records, gowning, environmental monitoring activities, smoke studies, personnel training, corrective/preventive actions, complaint &amp; adverse event handling, stability program, CSP product labeling, </w:t>
      </w:r>
      <w:r w:rsidRPr="00C91982">
        <w:rPr>
          <w:rFonts w:ascii="Arial" w:hAnsi="Arial" w:cs="Arial"/>
          <w:sz w:val="24"/>
          <w:szCs w:val="24"/>
        </w:rPr>
        <w:t>documentation,</w:t>
      </w:r>
      <w:r>
        <w:rPr>
          <w:rFonts w:ascii="Arial" w:hAnsi="Arial" w:cs="Arial"/>
          <w:sz w:val="24"/>
          <w:szCs w:val="24"/>
        </w:rPr>
        <w:t xml:space="preserve"> sterility testing, procedures, process simulations, compounding activities, etc. The audit focused on current GMP </w:t>
      </w:r>
      <w:r w:rsidRPr="001C7224">
        <w:rPr>
          <w:rFonts w:ascii="Arial" w:hAnsi="Arial" w:cs="Arial"/>
          <w:sz w:val="24"/>
          <w:szCs w:val="24"/>
        </w:rPr>
        <w:t xml:space="preserve">— </w:t>
      </w:r>
      <w:r w:rsidR="006A1680">
        <w:rPr>
          <w:rFonts w:ascii="Arial" w:hAnsi="Arial" w:cs="Arial"/>
          <w:sz w:val="24"/>
          <w:szCs w:val="24"/>
        </w:rPr>
        <w:t>G</w:t>
      </w:r>
      <w:r w:rsidRPr="001C7224">
        <w:rPr>
          <w:rFonts w:ascii="Arial" w:hAnsi="Arial" w:cs="Arial"/>
          <w:sz w:val="24"/>
          <w:szCs w:val="24"/>
        </w:rPr>
        <w:t>uidance for Human Drug Compounding Outsourcing Facilities Under Section 503B of the FD&amp;C Act</w:t>
      </w:r>
      <w:r w:rsidR="006A1680">
        <w:rPr>
          <w:rFonts w:ascii="Arial" w:hAnsi="Arial" w:cs="Arial"/>
          <w:sz w:val="24"/>
          <w:szCs w:val="24"/>
        </w:rPr>
        <w:t xml:space="preserve">, </w:t>
      </w:r>
      <w:r w:rsidR="006A1680" w:rsidRPr="006A1680">
        <w:rPr>
          <w:rFonts w:ascii="Arial" w:hAnsi="Arial" w:cs="Arial"/>
          <w:sz w:val="24"/>
          <w:szCs w:val="24"/>
        </w:rPr>
        <w:t xml:space="preserve">applicable chapters of the current USP/NF, and various other regulatory guidance documents </w:t>
      </w:r>
      <w:r w:rsidR="006A1680">
        <w:rPr>
          <w:rFonts w:ascii="Arial" w:hAnsi="Arial" w:cs="Arial"/>
          <w:sz w:val="24"/>
          <w:szCs w:val="24"/>
        </w:rPr>
        <w:t>(e.g., 21 CFR 210/211, 216</w:t>
      </w:r>
      <w:r w:rsidR="004770A1">
        <w:rPr>
          <w:rFonts w:ascii="Arial" w:hAnsi="Arial" w:cs="Arial"/>
          <w:sz w:val="24"/>
          <w:szCs w:val="24"/>
        </w:rPr>
        <w:t>, 7.4, 310</w:t>
      </w:r>
      <w:r w:rsidR="006A1680">
        <w:rPr>
          <w:rFonts w:ascii="Arial" w:hAnsi="Arial" w:cs="Arial"/>
          <w:sz w:val="24"/>
          <w:szCs w:val="24"/>
        </w:rPr>
        <w:t xml:space="preserve">) </w:t>
      </w:r>
      <w:r w:rsidR="006A1680" w:rsidRPr="006A1680">
        <w:rPr>
          <w:rFonts w:ascii="Arial" w:hAnsi="Arial" w:cs="Arial"/>
          <w:sz w:val="24"/>
          <w:szCs w:val="24"/>
        </w:rPr>
        <w:t>as applicable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71320D7" w14:textId="77777777" w:rsidR="008A6EAC" w:rsidRDefault="008A6EAC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78573471" w14:textId="2D10C2EF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Summary:</w:t>
      </w:r>
    </w:p>
    <w:p w14:paraId="5F711C65" w14:textId="115B3D37" w:rsidR="006A1680" w:rsidRDefault="006A1680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74481762" w14:textId="0F0BBC1F" w:rsidR="006A1680" w:rsidRPr="006A1680" w:rsidRDefault="006A1680" w:rsidP="00B354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1680">
        <w:rPr>
          <w:rFonts w:ascii="Arial" w:hAnsi="Arial" w:cs="Arial"/>
          <w:sz w:val="24"/>
          <w:szCs w:val="24"/>
        </w:rPr>
        <w:t xml:space="preserve">High level report summary </w:t>
      </w:r>
      <w:r>
        <w:rPr>
          <w:rFonts w:ascii="Arial" w:hAnsi="Arial" w:cs="Arial"/>
          <w:sz w:val="24"/>
          <w:szCs w:val="24"/>
        </w:rPr>
        <w:t>discussion including management team, SOP reviews, summary of compounded products, summation of items reviewed, and final conclusion/comparison to other audited facilities.</w:t>
      </w:r>
    </w:p>
    <w:p w14:paraId="0D18FB4C" w14:textId="77777777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3503C84F" w14:textId="503CA7A9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Audit Table:</w:t>
      </w:r>
    </w:p>
    <w:p w14:paraId="41F8D34A" w14:textId="25B9B317" w:rsidR="006A1680" w:rsidRDefault="006A1680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601832E6" w14:textId="3C37E045" w:rsidR="006A1680" w:rsidRDefault="006A1680" w:rsidP="00B354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Audit Table is included and contains regulatory regulation, regulatory reference section, observations, and classification.  “Complies” is listed in the observation column if there were no findings in a section.  Otherwise, a descriptive finding will be in the observation column, along with a classification type listed as Critical, Major, Minor, or Recommendation.  </w:t>
      </w:r>
    </w:p>
    <w:p w14:paraId="46A381B2" w14:textId="77777777" w:rsidR="000E2120" w:rsidRDefault="000E2120" w:rsidP="00B354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877C48" w14:textId="280F9C4E" w:rsidR="006A1680" w:rsidRPr="000E2120" w:rsidRDefault="000E2120" w:rsidP="00B35491">
      <w:pPr>
        <w:spacing w:after="0" w:line="240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0E2120">
        <w:rPr>
          <w:rFonts w:ascii="Arial" w:hAnsi="Arial" w:cs="Arial"/>
          <w:bCs/>
          <w:i/>
          <w:sz w:val="16"/>
          <w:szCs w:val="16"/>
        </w:rPr>
        <w:t>Excerpt from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0E2120">
        <w:rPr>
          <w:rFonts w:ascii="Arial" w:hAnsi="Arial" w:cs="Arial"/>
          <w:bCs/>
          <w:i/>
          <w:sz w:val="16"/>
          <w:szCs w:val="16"/>
        </w:rPr>
        <w:t xml:space="preserve">audit table </w:t>
      </w:r>
      <w:r w:rsidRPr="003D5A0F">
        <w:rPr>
          <w:rFonts w:ascii="Arial" w:hAnsi="Arial" w:cs="Arial"/>
          <w:b/>
          <w:i/>
          <w:sz w:val="16"/>
          <w:szCs w:val="16"/>
        </w:rPr>
        <w:t>(NOTE: All regulatory references from 21 CFR 211 &amp; FD&amp;C 503B will be included in table of completed report)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940"/>
        <w:gridCol w:w="2033"/>
        <w:gridCol w:w="4662"/>
        <w:gridCol w:w="1530"/>
      </w:tblGrid>
      <w:tr w:rsidR="006A1680" w:rsidRPr="00C91982" w14:paraId="23ED916D" w14:textId="4D402CD3" w:rsidTr="006A1680">
        <w:tc>
          <w:tcPr>
            <w:tcW w:w="1940" w:type="dxa"/>
          </w:tcPr>
          <w:p w14:paraId="52E8519F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2033" w:type="dxa"/>
          </w:tcPr>
          <w:p w14:paraId="359030C8" w14:textId="2DDBDE6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 xml:space="preserve">Regulatory Reference </w:t>
            </w:r>
          </w:p>
        </w:tc>
        <w:tc>
          <w:tcPr>
            <w:tcW w:w="4662" w:type="dxa"/>
          </w:tcPr>
          <w:p w14:paraId="77AC3155" w14:textId="66402D73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Observation</w:t>
            </w:r>
          </w:p>
        </w:tc>
        <w:tc>
          <w:tcPr>
            <w:tcW w:w="1530" w:type="dxa"/>
          </w:tcPr>
          <w:p w14:paraId="32046F19" w14:textId="045E227F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Category: Critical, Major, Minor, Recommendation</w:t>
            </w:r>
          </w:p>
        </w:tc>
      </w:tr>
      <w:tr w:rsidR="006A1680" w:rsidRPr="00C91982" w14:paraId="7EB8AAA5" w14:textId="6F26E0C1" w:rsidTr="006A1680">
        <w:tc>
          <w:tcPr>
            <w:tcW w:w="1940" w:type="dxa"/>
          </w:tcPr>
          <w:p w14:paraId="6BF0CCB3" w14:textId="34912F6B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Subpart B - </w:t>
            </w:r>
            <w:r w:rsidRPr="006A1680">
              <w:rPr>
                <w:rFonts w:ascii="Arial" w:hAnsi="Arial" w:cs="Arial"/>
                <w:sz w:val="16"/>
                <w:szCs w:val="16"/>
              </w:rPr>
              <w:t>Organization and Personnel</w:t>
            </w:r>
          </w:p>
        </w:tc>
        <w:tc>
          <w:tcPr>
            <w:tcW w:w="2033" w:type="dxa"/>
          </w:tcPr>
          <w:p w14:paraId="0FE9E185" w14:textId="3E23553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211.22</w:t>
            </w:r>
            <w:r>
              <w:rPr>
                <w:rFonts w:ascii="Arial" w:hAnsi="Arial" w:cs="Arial"/>
                <w:sz w:val="16"/>
                <w:szCs w:val="16"/>
              </w:rPr>
              <w:t xml:space="preserve"> Responsibilities of quality control unit</w:t>
            </w:r>
          </w:p>
          <w:p w14:paraId="1A7D73C6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9CF3F35" w14:textId="075E09FE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B1. </w:t>
            </w:r>
            <w:r w:rsidRPr="006A1680">
              <w:rPr>
                <w:rFonts w:ascii="Arial" w:hAnsi="Arial" w:cs="Arial"/>
                <w:sz w:val="16"/>
                <w:szCs w:val="16"/>
              </w:rPr>
              <w:t xml:space="preserve">There is an inadequate quality control unit.  The responsibilities of the quality control until are not in writing.  </w:t>
            </w:r>
          </w:p>
        </w:tc>
        <w:tc>
          <w:tcPr>
            <w:tcW w:w="1530" w:type="dxa"/>
          </w:tcPr>
          <w:p w14:paraId="418941AD" w14:textId="4BE9EC24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</w:t>
            </w:r>
          </w:p>
        </w:tc>
      </w:tr>
      <w:tr w:rsidR="006A1680" w:rsidRPr="00C91982" w14:paraId="413F6551" w14:textId="49A96389" w:rsidTr="006A1680">
        <w:tc>
          <w:tcPr>
            <w:tcW w:w="1940" w:type="dxa"/>
          </w:tcPr>
          <w:p w14:paraId="0D776658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Bulk Drug Substances</w:t>
            </w:r>
          </w:p>
        </w:tc>
        <w:tc>
          <w:tcPr>
            <w:tcW w:w="2033" w:type="dxa"/>
          </w:tcPr>
          <w:p w14:paraId="389DEEBF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503B(a)(2)</w:t>
            </w:r>
          </w:p>
        </w:tc>
        <w:tc>
          <w:tcPr>
            <w:tcW w:w="4662" w:type="dxa"/>
          </w:tcPr>
          <w:p w14:paraId="1DDCF8BE" w14:textId="29F3E89E" w:rsidR="006A1680" w:rsidRPr="006A1680" w:rsidRDefault="000E212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Y1. </w:t>
            </w:r>
            <w:r w:rsidR="006A1680" w:rsidRPr="006A1680">
              <w:rPr>
                <w:rFonts w:ascii="Arial" w:hAnsi="Arial" w:cs="Arial"/>
                <w:sz w:val="16"/>
                <w:szCs w:val="16"/>
              </w:rPr>
              <w:t xml:space="preserve">There is no C of A review for incoming starting materials. </w:t>
            </w:r>
          </w:p>
        </w:tc>
        <w:tc>
          <w:tcPr>
            <w:tcW w:w="1530" w:type="dxa"/>
          </w:tcPr>
          <w:p w14:paraId="025C68DF" w14:textId="4454637B" w:rsidR="006A1680" w:rsidRPr="006A1680" w:rsidRDefault="000E212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</w:t>
            </w:r>
          </w:p>
        </w:tc>
      </w:tr>
      <w:tr w:rsidR="006A1680" w:rsidRPr="00C91982" w14:paraId="00BB36D2" w14:textId="2E2FEE48" w:rsidTr="006A1680">
        <w:tc>
          <w:tcPr>
            <w:tcW w:w="1940" w:type="dxa"/>
          </w:tcPr>
          <w:p w14:paraId="381EBB87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Labeling of Drugs</w:t>
            </w:r>
          </w:p>
        </w:tc>
        <w:tc>
          <w:tcPr>
            <w:tcW w:w="2033" w:type="dxa"/>
          </w:tcPr>
          <w:p w14:paraId="0E0D017D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503B(a)(10)(A)</w:t>
            </w:r>
          </w:p>
        </w:tc>
        <w:tc>
          <w:tcPr>
            <w:tcW w:w="4662" w:type="dxa"/>
          </w:tcPr>
          <w:p w14:paraId="23FECAEA" w14:textId="797DCDFF" w:rsidR="006A1680" w:rsidRPr="006A1680" w:rsidRDefault="000E2120" w:rsidP="002C10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Complies</w:t>
            </w:r>
            <w:r w:rsidR="006A1680" w:rsidRPr="006A168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530" w:type="dxa"/>
          </w:tcPr>
          <w:p w14:paraId="7FD50DA2" w14:textId="77777777" w:rsidR="006A1680" w:rsidRPr="006A1680" w:rsidRDefault="006A1680" w:rsidP="002C10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680" w:rsidRPr="00C91982" w14:paraId="65771DA8" w14:textId="2B78E9A7" w:rsidTr="006A1680">
        <w:tc>
          <w:tcPr>
            <w:tcW w:w="1940" w:type="dxa"/>
          </w:tcPr>
          <w:p w14:paraId="2932D887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Adverse Event Reporting</w:t>
            </w:r>
          </w:p>
        </w:tc>
        <w:tc>
          <w:tcPr>
            <w:tcW w:w="2033" w:type="dxa"/>
          </w:tcPr>
          <w:p w14:paraId="1EA97C67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A1680">
              <w:rPr>
                <w:rFonts w:ascii="Arial" w:hAnsi="Arial" w:cs="Arial"/>
                <w:sz w:val="16"/>
                <w:szCs w:val="16"/>
              </w:rPr>
              <w:t>503B(b)(5)</w:t>
            </w:r>
          </w:p>
          <w:p w14:paraId="671633B9" w14:textId="77777777" w:rsidR="006A1680" w:rsidRPr="006A1680" w:rsidRDefault="006A168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9CB4085" w14:textId="08B20DAC" w:rsidR="006A1680" w:rsidRPr="006A1680" w:rsidRDefault="000E212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Y2.</w:t>
            </w:r>
            <w:r w:rsidR="006A1680" w:rsidRPr="006A1680">
              <w:rPr>
                <w:rFonts w:ascii="Arial" w:hAnsi="Arial" w:cs="Arial"/>
                <w:sz w:val="16"/>
                <w:szCs w:val="16"/>
              </w:rPr>
              <w:t>There is an inadequate process for determining and/or reporting adverse events.</w:t>
            </w:r>
          </w:p>
        </w:tc>
        <w:tc>
          <w:tcPr>
            <w:tcW w:w="1530" w:type="dxa"/>
          </w:tcPr>
          <w:p w14:paraId="58A8716D" w14:textId="3269F5B4" w:rsidR="006A1680" w:rsidRPr="006A1680" w:rsidRDefault="000E2120" w:rsidP="002C10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</w:t>
            </w:r>
          </w:p>
        </w:tc>
      </w:tr>
    </w:tbl>
    <w:p w14:paraId="6C775332" w14:textId="77777777" w:rsidR="006A1680" w:rsidRDefault="006A1680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33C1C428" w14:textId="622140E4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>Current Product List</w:t>
      </w:r>
    </w:p>
    <w:p w14:paraId="349C55B4" w14:textId="2B29A593" w:rsidR="00B35491" w:rsidRDefault="00B35491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77C1D54F" w14:textId="77777777" w:rsidR="000E2120" w:rsidRDefault="000E2120" w:rsidP="00B35491">
      <w:pPr>
        <w:spacing w:after="0" w:line="240" w:lineRule="auto"/>
        <w:contextualSpacing/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</w:pPr>
    </w:p>
    <w:p w14:paraId="06538DA0" w14:textId="30C35B26" w:rsidR="00B35491" w:rsidRDefault="00B35491" w:rsidP="00B354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BFBFBF" w:themeColor="background1" w:themeShade="BF"/>
          <w:sz w:val="24"/>
          <w:szCs w:val="24"/>
          <w:u w:val="single"/>
        </w:rPr>
        <w:t xml:space="preserve">Examples of Labels </w:t>
      </w:r>
    </w:p>
    <w:p w14:paraId="6B90174C" w14:textId="77777777" w:rsidR="0084691D" w:rsidRDefault="0084691D" w:rsidP="0084691D">
      <w:pPr>
        <w:jc w:val="center"/>
      </w:pPr>
    </w:p>
    <w:sectPr w:rsidR="0084691D" w:rsidSect="00C51954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F85F" w14:textId="77777777" w:rsidR="00A06353" w:rsidRDefault="00A06353" w:rsidP="00871F60">
      <w:pPr>
        <w:spacing w:after="0" w:line="240" w:lineRule="auto"/>
      </w:pPr>
      <w:r>
        <w:separator/>
      </w:r>
    </w:p>
  </w:endnote>
  <w:endnote w:type="continuationSeparator" w:id="0">
    <w:p w14:paraId="5D1947EB" w14:textId="77777777" w:rsidR="00A06353" w:rsidRDefault="00A06353" w:rsidP="008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A2CC" w14:textId="5574204D" w:rsidR="000407D5" w:rsidRPr="000407D5" w:rsidRDefault="000407D5" w:rsidP="000407D5">
    <w:pPr>
      <w:rPr>
        <w:rFonts w:ascii="Arial" w:hAnsi="Arial" w:cs="Arial"/>
        <w:sz w:val="16"/>
        <w:szCs w:val="16"/>
      </w:rPr>
    </w:pPr>
    <w:r w:rsidRPr="000407D5">
      <w:rPr>
        <w:rFonts w:ascii="Arial" w:hAnsi="Arial" w:cs="Arial"/>
        <w:sz w:val="16"/>
        <w:szCs w:val="16"/>
      </w:rPr>
      <w:t>This independent third-party GMP audit was performed by PAC Auditing Solutions on behalf of X</w:t>
    </w:r>
    <w:r w:rsidR="00416D73">
      <w:rPr>
        <w:rFonts w:ascii="Arial" w:hAnsi="Arial" w:cs="Arial"/>
        <w:sz w:val="16"/>
        <w:szCs w:val="16"/>
      </w:rPr>
      <w:t>X</w:t>
    </w:r>
    <w:r w:rsidRPr="000407D5">
      <w:rPr>
        <w:rFonts w:ascii="Arial" w:hAnsi="Arial" w:cs="Arial"/>
        <w:sz w:val="16"/>
        <w:szCs w:val="16"/>
      </w:rPr>
      <w:t>X Client XXX.  The summary audit report attached herein was created exclusively for use by   XX</w:t>
    </w:r>
    <w:r w:rsidR="00416D73">
      <w:rPr>
        <w:rFonts w:ascii="Arial" w:hAnsi="Arial" w:cs="Arial"/>
        <w:sz w:val="16"/>
        <w:szCs w:val="16"/>
      </w:rPr>
      <w:t>X</w:t>
    </w:r>
    <w:r w:rsidRPr="000407D5">
      <w:rPr>
        <w:rFonts w:ascii="Arial" w:hAnsi="Arial" w:cs="Arial"/>
        <w:sz w:val="16"/>
        <w:szCs w:val="16"/>
      </w:rPr>
      <w:t xml:space="preserve"> Client </w:t>
    </w:r>
    <w:r w:rsidR="00416D73">
      <w:rPr>
        <w:rFonts w:ascii="Arial" w:hAnsi="Arial" w:cs="Arial"/>
        <w:sz w:val="16"/>
        <w:szCs w:val="16"/>
      </w:rPr>
      <w:t>X</w:t>
    </w:r>
    <w:r w:rsidRPr="000407D5">
      <w:rPr>
        <w:rFonts w:ascii="Arial" w:hAnsi="Arial" w:cs="Arial"/>
        <w:sz w:val="16"/>
        <w:szCs w:val="16"/>
      </w:rPr>
      <w:t>XX.</w:t>
    </w:r>
    <w:r>
      <w:rPr>
        <w:rFonts w:ascii="Arial" w:hAnsi="Arial" w:cs="Arial"/>
        <w:sz w:val="16"/>
        <w:szCs w:val="16"/>
      </w:rPr>
      <w:t xml:space="preserve">  The report shall not be copied, disseminated or forwarded to any other entity without the express written consent of PAC Auditing Solutions.  </w:t>
    </w:r>
  </w:p>
  <w:p w14:paraId="26FFC245" w14:textId="77777777" w:rsidR="005C424E" w:rsidRDefault="005C4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0F9" w14:textId="77777777" w:rsidR="00A06353" w:rsidRDefault="00A06353" w:rsidP="00871F60">
      <w:pPr>
        <w:spacing w:after="0" w:line="240" w:lineRule="auto"/>
      </w:pPr>
      <w:r>
        <w:separator/>
      </w:r>
    </w:p>
  </w:footnote>
  <w:footnote w:type="continuationSeparator" w:id="0">
    <w:p w14:paraId="0C8B25C5" w14:textId="77777777" w:rsidR="00A06353" w:rsidRDefault="00A06353" w:rsidP="008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AAEF" w14:textId="292C0C7B" w:rsidR="00871F60" w:rsidRDefault="00A06353">
    <w:pPr>
      <w:pStyle w:val="Header"/>
    </w:pPr>
    <w:sdt>
      <w:sdtPr>
        <w:id w:val="7301923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EB31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1207939" o:spid="_x0000_s2049" type="#_x0000_t136" style="position:absolute;margin-left:0;margin-top:0;width:613.6pt;height:96.8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AUDIT REPORT (sample)"/>
              <w10:wrap anchorx="margin" anchory="margin"/>
            </v:shape>
          </w:pict>
        </w:r>
      </w:sdtContent>
    </w:sdt>
    <w:r w:rsidR="00871F60">
      <w:rPr>
        <w:noProof/>
      </w:rPr>
      <w:drawing>
        <wp:inline distT="0" distB="0" distL="0" distR="0" wp14:anchorId="68B0DA2F" wp14:editId="45F8CA20">
          <wp:extent cx="1524000" cy="7442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339" cy="7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8078E" w14:textId="77777777" w:rsidR="00C51954" w:rsidRDefault="00C519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1EEE"/>
    <w:multiLevelType w:val="hybridMultilevel"/>
    <w:tmpl w:val="3E08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1D"/>
    <w:rsid w:val="000348C5"/>
    <w:rsid w:val="000407D5"/>
    <w:rsid w:val="000B7F3B"/>
    <w:rsid w:val="000E2120"/>
    <w:rsid w:val="000F1531"/>
    <w:rsid w:val="001C7224"/>
    <w:rsid w:val="002A5127"/>
    <w:rsid w:val="002C255D"/>
    <w:rsid w:val="002D1E37"/>
    <w:rsid w:val="003D5A0F"/>
    <w:rsid w:val="00416D73"/>
    <w:rsid w:val="00462C8A"/>
    <w:rsid w:val="004770A1"/>
    <w:rsid w:val="005A76DE"/>
    <w:rsid w:val="005B7603"/>
    <w:rsid w:val="005C424E"/>
    <w:rsid w:val="00621B7D"/>
    <w:rsid w:val="006A1680"/>
    <w:rsid w:val="006C0BE9"/>
    <w:rsid w:val="00712D4E"/>
    <w:rsid w:val="007A604B"/>
    <w:rsid w:val="007C778B"/>
    <w:rsid w:val="007D00E8"/>
    <w:rsid w:val="0084691D"/>
    <w:rsid w:val="00871F60"/>
    <w:rsid w:val="008A6EAC"/>
    <w:rsid w:val="00A06353"/>
    <w:rsid w:val="00A9780D"/>
    <w:rsid w:val="00B35491"/>
    <w:rsid w:val="00C51954"/>
    <w:rsid w:val="00C81FEE"/>
    <w:rsid w:val="00C91982"/>
    <w:rsid w:val="00D3507F"/>
    <w:rsid w:val="00D375CF"/>
    <w:rsid w:val="00E46E6A"/>
    <w:rsid w:val="00E55415"/>
    <w:rsid w:val="00ED6D8E"/>
    <w:rsid w:val="00F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A345A4"/>
  <w15:chartTrackingRefBased/>
  <w15:docId w15:val="{9C1B7843-1712-47F1-9474-381A465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491"/>
    <w:pPr>
      <w:keepNext/>
      <w:contextualSpacing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EAC"/>
    <w:pPr>
      <w:keepNext/>
      <w:outlineLvl w:val="1"/>
    </w:pPr>
    <w:rPr>
      <w:rFonts w:ascii="Arial" w:hAnsi="Arial" w:cs="Arial"/>
      <w:b/>
      <w:bCs/>
      <w:i/>
      <w:iCs/>
      <w:color w:val="BFBFBF" w:themeColor="background1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60"/>
  </w:style>
  <w:style w:type="paragraph" w:styleId="Footer">
    <w:name w:val="footer"/>
    <w:basedOn w:val="Normal"/>
    <w:link w:val="FooterChar"/>
    <w:uiPriority w:val="99"/>
    <w:unhideWhenUsed/>
    <w:rsid w:val="0087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60"/>
  </w:style>
  <w:style w:type="character" w:customStyle="1" w:styleId="Heading1Char">
    <w:name w:val="Heading 1 Char"/>
    <w:basedOn w:val="DefaultParagraphFont"/>
    <w:link w:val="Heading1"/>
    <w:uiPriority w:val="9"/>
    <w:rsid w:val="00B35491"/>
    <w:rPr>
      <w:rFonts w:ascii="Arial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A6EAC"/>
    <w:pPr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A6EAC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A6EAC"/>
    <w:pPr>
      <w:spacing w:after="0" w:line="240" w:lineRule="auto"/>
      <w:ind w:left="720" w:hanging="720"/>
      <w:contextualSpacing/>
      <w:mirrorIndents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EA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6EAC"/>
    <w:rPr>
      <w:rFonts w:ascii="Arial" w:hAnsi="Arial" w:cs="Arial"/>
      <w:b/>
      <w:bCs/>
      <w:i/>
      <w:iCs/>
      <w:color w:val="BFBFBF" w:themeColor="background1" w:themeShade="B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5486-5121-4B53-9F21-DE584182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Anderson,Pamela</dc:creator>
  <cp:keywords/>
  <dc:description/>
  <cp:lastModifiedBy>PAnderson</cp:lastModifiedBy>
  <cp:revision>9</cp:revision>
  <cp:lastPrinted>2018-11-07T01:50:00Z</cp:lastPrinted>
  <dcterms:created xsi:type="dcterms:W3CDTF">2018-11-07T01:51:00Z</dcterms:created>
  <dcterms:modified xsi:type="dcterms:W3CDTF">2021-08-04T19:04:00Z</dcterms:modified>
</cp:coreProperties>
</file>